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zh-CN"/>
        </w:rPr>
      </w:pPr>
      <w:bookmarkStart w:id="0" w:name="_GoBack"/>
      <w:bookmarkEnd w:id="0"/>
    </w:p>
    <w:p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zh-CN"/>
        </w:rPr>
      </w:pPr>
    </w:p>
    <w:p>
      <w:pPr>
        <w:spacing w:after="0" w:line="240" w:lineRule="auto"/>
        <w:ind w:right="89"/>
        <w:rPr>
          <w:rFonts w:asciiTheme="minorHAnsi" w:hAnsiTheme="minorHAnsi" w:eastAsiaTheme="minorHAnsi" w:cstheme="minorBidi"/>
          <w:b/>
          <w:sz w:val="28"/>
          <w:szCs w:val="28"/>
        </w:rPr>
      </w:pPr>
      <w:r>
        <w:rPr>
          <w:rFonts w:asciiTheme="minorHAnsi" w:hAnsiTheme="minorHAnsi" w:eastAsiaTheme="minorHAnsi" w:cstheme="minorBidi"/>
          <w:b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5452110</wp:posOffset>
            </wp:positionH>
            <wp:positionV relativeFrom="paragraph">
              <wp:posOffset>184785</wp:posOffset>
            </wp:positionV>
            <wp:extent cx="742950" cy="1038225"/>
            <wp:effectExtent l="0" t="0" r="0" b="9525"/>
            <wp:wrapNone/>
            <wp:docPr id="27" name="Picture 27" descr="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ue-fla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eastAsiaTheme="minorHAnsi" w:cstheme="minorBidi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128905</wp:posOffset>
            </wp:positionV>
            <wp:extent cx="742950" cy="1160780"/>
            <wp:effectExtent l="0" t="0" r="0" b="1270"/>
            <wp:wrapNone/>
            <wp:docPr id="26" name="Picture 26" descr="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stema_2016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eastAsiaTheme="minorHAnsi"/>
          <w:b/>
          <w:sz w:val="28"/>
          <w:szCs w:val="28"/>
          <w:lang w:val="pt-BR"/>
        </w:rPr>
        <w:t xml:space="preserve">                                                         P R I M </w:t>
      </w:r>
      <w:r>
        <w:rPr>
          <w:rFonts w:ascii="Times New Roman" w:hAnsi="Times New Roman" w:cs="Times New Roman" w:eastAsiaTheme="minorHAnsi"/>
          <w:b/>
          <w:sz w:val="28"/>
          <w:szCs w:val="28"/>
        </w:rPr>
        <w:t>A R I A</w:t>
      </w:r>
    </w:p>
    <w:p>
      <w:pPr>
        <w:spacing w:after="0" w:line="240" w:lineRule="auto"/>
        <w:ind w:right="89"/>
        <w:jc w:val="center"/>
        <w:rPr>
          <w:rFonts w:asciiTheme="minorHAnsi" w:hAnsiTheme="minorHAnsi" w:eastAsiaTheme="minorHAnsi" w:cstheme="minorBidi"/>
          <w:sz w:val="28"/>
          <w:szCs w:val="28"/>
        </w:rPr>
      </w:pPr>
      <w:r>
        <w:rPr>
          <w:rFonts w:ascii="Times New Roman" w:hAnsi="Times New Roman" w:cs="Times New Roman" w:eastAsiaTheme="minorHAnsi"/>
          <w:b/>
          <w:i/>
          <w:sz w:val="28"/>
          <w:szCs w:val="28"/>
          <w:lang w:val="pt-BR"/>
        </w:rPr>
        <w:t>Comuna Grădiştea, Judeţul Valcea</w:t>
      </w:r>
    </w:p>
    <w:p>
      <w:pPr>
        <w:spacing w:after="0" w:line="240" w:lineRule="auto"/>
        <w:ind w:right="89"/>
        <w:jc w:val="center"/>
        <w:rPr>
          <w:rFonts w:asciiTheme="minorHAnsi" w:hAnsiTheme="minorHAnsi" w:eastAsiaTheme="minorHAnsi" w:cstheme="minorBidi"/>
          <w:sz w:val="28"/>
          <w:szCs w:val="28"/>
        </w:rPr>
      </w:pPr>
      <w:r>
        <w:rPr>
          <w:rFonts w:ascii="Times New Roman" w:hAnsi="Times New Roman" w:cs="Times New Roman" w:eastAsiaTheme="minorHAnsi"/>
          <w:b/>
          <w:color w:val="000000"/>
          <w:sz w:val="28"/>
          <w:szCs w:val="28"/>
          <w:lang w:val="fr-FR"/>
        </w:rPr>
        <w:t>Codul de inregistrare fiscala: 2541320</w:t>
      </w:r>
    </w:p>
    <w:p>
      <w:pPr>
        <w:spacing w:after="0" w:line="240" w:lineRule="auto"/>
        <w:ind w:right="89"/>
        <w:jc w:val="center"/>
        <w:rPr>
          <w:rFonts w:asciiTheme="minorHAnsi" w:hAnsiTheme="minorHAnsi" w:eastAsiaTheme="minorHAnsi" w:cstheme="minorBidi"/>
          <w:sz w:val="28"/>
          <w:szCs w:val="28"/>
        </w:rPr>
      </w:pPr>
      <w:r>
        <w:rPr>
          <w:rFonts w:ascii="Times New Roman" w:hAnsi="Times New Roman" w:cs="Times New Roman" w:eastAsiaTheme="minorHAnsi"/>
          <w:b/>
          <w:i/>
          <w:sz w:val="28"/>
          <w:szCs w:val="28"/>
          <w:lang w:val="fr-FR"/>
        </w:rPr>
        <w:t>Tel:0250/867072 ; Tel/ Fax : 0250/867009</w:t>
      </w:r>
    </w:p>
    <w:p>
      <w:pPr>
        <w:spacing w:after="0" w:line="240" w:lineRule="auto"/>
        <w:ind w:right="89"/>
        <w:jc w:val="center"/>
        <w:rPr>
          <w:rFonts w:ascii="Times New Roman" w:hAnsi="Times New Roman" w:cs="Times New Roman" w:eastAsiaTheme="minorHAnsi"/>
          <w:b/>
          <w:i/>
          <w:color w:val="000000"/>
          <w:sz w:val="28"/>
          <w:szCs w:val="28"/>
          <w:lang w:val="fr-FR"/>
        </w:rPr>
      </w:pPr>
      <w:r>
        <w:rPr>
          <w:rFonts w:ascii="Times New Roman" w:hAnsi="Times New Roman" w:cs="Times New Roman" w:eastAsiaTheme="minorHAnsi"/>
          <w:b/>
          <w:i/>
          <w:sz w:val="28"/>
          <w:szCs w:val="28"/>
          <w:lang w:val="fr-FR"/>
        </w:rPr>
        <w:t xml:space="preserve">e-mail: </w:t>
      </w:r>
      <w:r>
        <w:rPr>
          <w:rFonts w:ascii="Times New Roman" w:hAnsi="Times New Roman" w:cs="Times New Roman" w:eastAsiaTheme="minorHAnsi"/>
          <w:b/>
          <w:i/>
          <w:color w:val="000000"/>
          <w:sz w:val="28"/>
          <w:szCs w:val="28"/>
          <w:lang w:val="fr-FR"/>
        </w:rPr>
        <w:t xml:space="preserve">gradistea@vl.e-adm.ro </w:t>
      </w:r>
    </w:p>
    <w:p>
      <w:pPr>
        <w:spacing w:after="0" w:line="240" w:lineRule="auto"/>
        <w:ind w:right="-900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fldChar w:fldCharType="begin"/>
      </w:r>
      <w:r>
        <w:instrText xml:space="preserve"> HYPERLINK "http://www.primariagradisteavalcea.ro" </w:instrText>
      </w:r>
      <w:r>
        <w:fldChar w:fldCharType="separate"/>
      </w:r>
      <w:r>
        <w:rPr>
          <w:rFonts w:ascii="Times New Roman" w:hAnsi="Times New Roman" w:cs="Times New Roman"/>
          <w:b/>
          <w:color w:val="0563C1" w:themeColor="hyperlink"/>
          <w:sz w:val="28"/>
          <w:szCs w:val="28"/>
          <w:u w:val="single"/>
          <w:lang w:val="fr-FR"/>
          <w14:textFill>
            <w14:solidFill>
              <w14:schemeClr w14:val="hlink"/>
            </w14:solidFill>
          </w14:textFill>
        </w:rPr>
        <w:t>www.primariagradisteavalcea.ro</w:t>
      </w:r>
      <w:r>
        <w:rPr>
          <w:rFonts w:ascii="Times New Roman" w:hAnsi="Times New Roman" w:cs="Times New Roman"/>
          <w:b/>
          <w:color w:val="0563C1" w:themeColor="hyperlink"/>
          <w:sz w:val="28"/>
          <w:szCs w:val="28"/>
          <w:u w:val="single"/>
          <w:lang w:val="fr-FR"/>
          <w14:textFill>
            <w14:solidFill>
              <w14:schemeClr w14:val="hlink"/>
            </w14:solidFill>
          </w14:textFill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8089900</wp:posOffset>
            </wp:positionH>
            <wp:positionV relativeFrom="paragraph">
              <wp:posOffset>6350</wp:posOffset>
            </wp:positionV>
            <wp:extent cx="800100" cy="10287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8001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7200900</wp:posOffset>
            </wp:positionH>
            <wp:positionV relativeFrom="paragraph">
              <wp:posOffset>6350</wp:posOffset>
            </wp:positionV>
            <wp:extent cx="1511300" cy="1162050"/>
            <wp:effectExtent l="0" t="0" r="1270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 w:eastAsiaTheme="minorHAnsi"/>
          <w:b/>
          <w:color w:val="000000"/>
          <w:sz w:val="28"/>
          <w:szCs w:val="28"/>
        </w:rPr>
        <w:drawing>
          <wp:inline distT="0" distB="0" distL="0" distR="0">
            <wp:extent cx="6120765" cy="350520"/>
            <wp:effectExtent l="0" t="0" r="13335" b="1143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fr-FR" w:eastAsia="ar-SA"/>
        </w:rPr>
      </w:pPr>
      <w:r>
        <w:rPr>
          <w:rFonts w:ascii="Times New Roman" w:hAnsi="Times New Roman" w:cs="Times New Roman"/>
          <w:b/>
          <w:sz w:val="28"/>
          <w:szCs w:val="28"/>
          <w:lang w:val="pt-BR"/>
        </w:rPr>
        <w:t xml:space="preserve">Nr: </w:t>
      </w:r>
      <w:r>
        <w:rPr>
          <w:rFonts w:ascii="Times New Roman" w:hAnsi="Times New Roman" w:cs="Times New Roman"/>
          <w:color w:val="000000"/>
          <w:sz w:val="28"/>
          <w:szCs w:val="28"/>
        </w:rPr>
        <w:t>4.630/19.07.2021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fr-FR" w:eastAsia="ar-SA"/>
        </w:rPr>
      </w:pPr>
      <w:r>
        <w:rPr>
          <w:rFonts w:ascii="Times New Roman" w:hAnsi="Times New Roman" w:cs="Times New Roman"/>
          <w:b/>
          <w:sz w:val="28"/>
          <w:szCs w:val="28"/>
          <w:lang w:val="pt-BR"/>
        </w:rPr>
        <w:t xml:space="preserve">                                                                                      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RAPORT DE SPECIALITATE</w:t>
      </w:r>
    </w:p>
    <w:p>
      <w:pPr>
        <w:pStyle w:val="8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cu privire la: </w:t>
      </w:r>
      <w:r>
        <w:rPr>
          <w:b/>
          <w:color w:val="000000"/>
          <w:sz w:val="28"/>
          <w:szCs w:val="28"/>
        </w:rPr>
        <w:t xml:space="preserve">aprobarea contului de </w:t>
      </w:r>
      <w:r>
        <w:rPr>
          <w:b/>
          <w:color w:val="000000"/>
          <w:sz w:val="28"/>
          <w:szCs w:val="28"/>
          <w:lang w:val="ro-RO"/>
        </w:rPr>
        <w:t>î</w:t>
      </w:r>
      <w:r>
        <w:rPr>
          <w:b/>
          <w:color w:val="000000"/>
          <w:sz w:val="28"/>
          <w:szCs w:val="28"/>
        </w:rPr>
        <w:t>ncheiere a exercițiului bugetar la data de 30.06.2021</w:t>
      </w:r>
    </w:p>
    <w:p>
      <w:pPr>
        <w:pStyle w:val="8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it-IT"/>
        </w:rPr>
      </w:pPr>
    </w:p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Proiectul de hotarare privind aprobarea contului de incheiere a exercitiului bugetar la data de 30.06.2021, s-a initiat in conformitate cu prevederile legale.</w:t>
      </w:r>
    </w:p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Conform art. 57 alin. (2) din Legea nr. 273/2006, prevede ca „Trimestrial şi anual, ordonatorii principali de credite întocmesc situaţii financiare asupra execuţiei bugetare, care se depun la direcţiile generale ale finanţelor publice.”</w:t>
      </w:r>
    </w:p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Intrucat după terminarea fiecărui trimestru, Consiliile locale urmează să aprobe contul de încheiere a exerciţiului bugetar, iniţiatorul a avut în vedere această cerinţă a legii şi a întocmit proiectul de hotărâre privind aprobarea contului de încheiere a exerciţiului bugetar. </w:t>
      </w:r>
    </w:p>
    <w:p>
      <w:pPr>
        <w:pStyle w:val="8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În conformitate cu:</w:t>
      </w:r>
    </w:p>
    <w:p>
      <w:pPr>
        <w:pStyle w:val="8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prevederile art. 5, art. 9, art. 27 şi art. 37 din Legea 82/1991 cu modificările şi completările ulterioare;</w:t>
      </w:r>
    </w:p>
    <w:p>
      <w:pPr>
        <w:pStyle w:val="8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prevederile art. 57, art. 58, art. 70 si art. 73 din Legea nr. 273/2006, privind finanţele publice locale, cu modificările şi completările ulterioare;</w:t>
      </w:r>
    </w:p>
    <w:p>
      <w:pPr>
        <w:pStyle w:val="8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  <w:lang w:val="ro-RO" w:eastAsia="ro-RO"/>
        </w:rPr>
        <w:t>În temeiul art. 129,  alin. (1 ),  alin.( 4),  lit. a)  şi  art. 139,  alin. (3 ),  lit. a),  coroborat cu art. 196, alin. (1), lit. a) din O.U.G.  nr. 57/2019 privind Codul administrativ</w:t>
      </w:r>
      <w:r>
        <w:rPr>
          <w:color w:val="000000"/>
          <w:sz w:val="28"/>
          <w:szCs w:val="28"/>
        </w:rPr>
        <w:t>,</w:t>
      </w:r>
    </w:p>
    <w:p>
      <w:pPr>
        <w:pStyle w:val="8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Avand in vedere cele detaliate, propun aprobarea contului de incheiere a exercitiului bugetar la 30.06.2021, conform anexelor nr. I, II , care fac parte integrantă din hotărâre, pe care le anexez.</w:t>
      </w:r>
    </w:p>
    <w:p>
      <w:pPr>
        <w:pStyle w:val="8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Pasoiu Eleonora – consilier superior (contabil)</w:t>
      </w:r>
    </w:p>
    <w:p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</w:p>
    <w:p/>
    <w:p/>
    <w:sectPr>
      <w:pgSz w:w="11906" w:h="16838"/>
      <w:pgMar w:top="1134" w:right="1440" w:bottom="1134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4F14B6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244F14B6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qFormat="1"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qFormat="1"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qFormat="1" w:unhideWhenUsed="0" w:uiPriority="65" w:semiHidden="0" w:name="Medium List 1 Accent 6"/>
    <w:lsdException w:unhideWhenUsed="0" w:uiPriority="66" w:semiHidden="0" w:name="Medium List 2 Accent 6"/>
    <w:lsdException w:qFormat="1"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uiPriority w:val="0"/>
    <w:rPr>
      <w:sz w:val="16"/>
      <w:szCs w:val="16"/>
    </w:rPr>
  </w:style>
  <w:style w:type="paragraph" w:styleId="14">
    <w:name w:val="Block Text"/>
    <w:basedOn w:val="1"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uiPriority w:val="0"/>
    <w:pPr>
      <w:spacing w:after="120"/>
    </w:pPr>
  </w:style>
  <w:style w:type="paragraph" w:styleId="16">
    <w:name w:val="Body Text 2"/>
    <w:basedOn w:val="1"/>
    <w:uiPriority w:val="0"/>
    <w:pPr>
      <w:spacing w:after="120" w:line="480" w:lineRule="auto"/>
    </w:pPr>
  </w:style>
  <w:style w:type="paragraph" w:styleId="17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uiPriority w:val="0"/>
    <w:pPr>
      <w:ind w:firstLine="420" w:firstLineChars="100"/>
    </w:pPr>
  </w:style>
  <w:style w:type="paragraph" w:styleId="19">
    <w:name w:val="Body Text Indent"/>
    <w:basedOn w:val="1"/>
    <w:uiPriority w:val="0"/>
    <w:pPr>
      <w:spacing w:after="120"/>
      <w:ind w:left="420" w:leftChars="200"/>
    </w:pPr>
  </w:style>
  <w:style w:type="paragraph" w:styleId="20">
    <w:name w:val="Body Text First Indent 2"/>
    <w:basedOn w:val="19"/>
    <w:uiPriority w:val="0"/>
    <w:pPr>
      <w:ind w:firstLine="420" w:firstLineChars="200"/>
    </w:pPr>
  </w:style>
  <w:style w:type="paragraph" w:styleId="21">
    <w:name w:val="Body Text Indent 2"/>
    <w:basedOn w:val="1"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uiPriority w:val="0"/>
    <w:pPr>
      <w:ind w:left="100" w:leftChars="2100"/>
    </w:pPr>
  </w:style>
  <w:style w:type="character" w:styleId="25">
    <w:name w:val="annotation reference"/>
    <w:basedOn w:val="11"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uiPriority w:val="0"/>
    <w:rPr>
      <w:b/>
      <w:bCs/>
    </w:rPr>
  </w:style>
  <w:style w:type="paragraph" w:styleId="28">
    <w:name w:val="Date"/>
    <w:basedOn w:val="1"/>
    <w:next w:val="1"/>
    <w:uiPriority w:val="0"/>
    <w:pPr>
      <w:ind w:left="100" w:leftChars="2500"/>
    </w:pPr>
  </w:style>
  <w:style w:type="paragraph" w:styleId="29">
    <w:name w:val="Document Map"/>
    <w:basedOn w:val="1"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uiPriority w:val="0"/>
    <w:pPr>
      <w:snapToGrid w:val="0"/>
      <w:jc w:val="left"/>
    </w:pPr>
  </w:style>
  <w:style w:type="paragraph" w:styleId="34">
    <w:name w:val="envelope address"/>
    <w:basedOn w:val="1"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uiPriority w:val="0"/>
    <w:rPr>
      <w:color w:val="800080"/>
      <w:u w:val="single"/>
    </w:rPr>
  </w:style>
  <w:style w:type="paragraph" w:styleId="3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uiPriority w:val="0"/>
    <w:rPr>
      <w:i/>
      <w:iCs/>
    </w:rPr>
  </w:style>
  <w:style w:type="character" w:styleId="44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uiPriority w:val="0"/>
    <w:rPr>
      <w:i/>
      <w:iCs/>
    </w:rPr>
  </w:style>
  <w:style w:type="character" w:styleId="46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qFormat/>
    <w:uiPriority w:val="0"/>
    <w:rPr>
      <w:i/>
      <w:iCs/>
    </w:rPr>
  </w:style>
  <w:style w:type="character" w:styleId="51">
    <w:name w:val="Hyperlink"/>
    <w:basedOn w:val="11"/>
    <w:qFormat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qFormat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qFormat/>
    <w:uiPriority w:val="0"/>
  </w:style>
  <w:style w:type="paragraph" w:styleId="63">
    <w:name w:val="List"/>
    <w:basedOn w:val="1"/>
    <w:qFormat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qFormat/>
    <w:uiPriority w:val="0"/>
    <w:pPr>
      <w:ind w:left="100" w:leftChars="400" w:hanging="200" w:hangingChars="200"/>
    </w:pPr>
  </w:style>
  <w:style w:type="paragraph" w:styleId="66">
    <w:name w:val="List 4"/>
    <w:basedOn w:val="1"/>
    <w:qFormat/>
    <w:uiPriority w:val="0"/>
    <w:pPr>
      <w:ind w:left="100" w:leftChars="600" w:hanging="200" w:hangingChars="200"/>
    </w:pPr>
  </w:style>
  <w:style w:type="paragraph" w:styleId="67">
    <w:name w:val="List 5"/>
    <w:basedOn w:val="1"/>
    <w:qFormat/>
    <w:uiPriority w:val="0"/>
    <w:pPr>
      <w:ind w:left="100" w:leftChars="800" w:hanging="200" w:hangingChars="200"/>
    </w:pPr>
  </w:style>
  <w:style w:type="paragraph" w:styleId="68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qFormat/>
    <w:uiPriority w:val="0"/>
    <w:pPr>
      <w:numPr>
        <w:ilvl w:val="0"/>
        <w:numId w:val="3"/>
      </w:numPr>
    </w:pPr>
  </w:style>
  <w:style w:type="paragraph" w:styleId="71">
    <w:name w:val="List Bullet 4"/>
    <w:basedOn w:val="1"/>
    <w:qFormat/>
    <w:uiPriority w:val="0"/>
    <w:pPr>
      <w:numPr>
        <w:ilvl w:val="0"/>
        <w:numId w:val="4"/>
      </w:numPr>
    </w:pPr>
  </w:style>
  <w:style w:type="paragraph" w:styleId="72">
    <w:name w:val="List Bullet 5"/>
    <w:basedOn w:val="1"/>
    <w:qFormat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qFormat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qFormat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uiPriority w:val="0"/>
    <w:pPr>
      <w:numPr>
        <w:ilvl w:val="0"/>
        <w:numId w:val="6"/>
      </w:numPr>
    </w:pPr>
  </w:style>
  <w:style w:type="paragraph" w:styleId="79">
    <w:name w:val="List Number 2"/>
    <w:basedOn w:val="1"/>
    <w:uiPriority w:val="0"/>
    <w:pPr>
      <w:numPr>
        <w:ilvl w:val="0"/>
        <w:numId w:val="7"/>
      </w:numPr>
    </w:pPr>
  </w:style>
  <w:style w:type="paragraph" w:styleId="80">
    <w:name w:val="List Number 3"/>
    <w:basedOn w:val="1"/>
    <w:uiPriority w:val="0"/>
    <w:pPr>
      <w:numPr>
        <w:ilvl w:val="0"/>
        <w:numId w:val="8"/>
      </w:numPr>
    </w:pPr>
  </w:style>
  <w:style w:type="paragraph" w:styleId="81">
    <w:name w:val="List Number 4"/>
    <w:basedOn w:val="1"/>
    <w:uiPriority w:val="0"/>
    <w:pPr>
      <w:numPr>
        <w:ilvl w:val="0"/>
        <w:numId w:val="9"/>
      </w:numPr>
    </w:pPr>
  </w:style>
  <w:style w:type="paragraph" w:styleId="82">
    <w:name w:val="List Number 5"/>
    <w:basedOn w:val="1"/>
    <w:uiPriority w:val="0"/>
    <w:pPr>
      <w:numPr>
        <w:ilvl w:val="0"/>
        <w:numId w:val="10"/>
      </w:numPr>
    </w:pPr>
  </w:style>
  <w:style w:type="paragraph" w:styleId="83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uiPriority w:val="0"/>
    <w:rPr>
      <w:sz w:val="24"/>
      <w:szCs w:val="24"/>
    </w:rPr>
  </w:style>
  <w:style w:type="paragraph" w:styleId="86">
    <w:name w:val="Normal Indent"/>
    <w:basedOn w:val="1"/>
    <w:uiPriority w:val="0"/>
    <w:pPr>
      <w:ind w:firstLine="420" w:firstLineChars="200"/>
    </w:pPr>
  </w:style>
  <w:style w:type="paragraph" w:styleId="87">
    <w:name w:val="Note Heading"/>
    <w:basedOn w:val="1"/>
    <w:next w:val="1"/>
    <w:uiPriority w:val="0"/>
    <w:pPr>
      <w:jc w:val="center"/>
    </w:pPr>
  </w:style>
  <w:style w:type="character" w:styleId="88">
    <w:name w:val="page number"/>
    <w:basedOn w:val="11"/>
    <w:uiPriority w:val="0"/>
  </w:style>
  <w:style w:type="paragraph" w:styleId="89">
    <w:name w:val="Plain Text"/>
    <w:basedOn w:val="1"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uiPriority w:val="0"/>
  </w:style>
  <w:style w:type="paragraph" w:styleId="91">
    <w:name w:val="Signature"/>
    <w:basedOn w:val="1"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uiPriority w:val="0"/>
    <w:pPr>
      <w:ind w:left="420" w:leftChars="200"/>
    </w:pPr>
  </w:style>
  <w:style w:type="paragraph" w:styleId="129">
    <w:name w:val="table of figures"/>
    <w:basedOn w:val="1"/>
    <w:next w:val="1"/>
    <w:uiPriority w:val="0"/>
    <w:pPr>
      <w:ind w:leftChars="200" w:hanging="200" w:hangingChars="200"/>
    </w:pPr>
  </w:style>
  <w:style w:type="table" w:styleId="130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uiPriority w:val="0"/>
  </w:style>
  <w:style w:type="paragraph" w:styleId="143">
    <w:name w:val="toc 2"/>
    <w:basedOn w:val="1"/>
    <w:next w:val="1"/>
    <w:uiPriority w:val="0"/>
    <w:pPr>
      <w:ind w:left="420" w:leftChars="200"/>
    </w:pPr>
  </w:style>
  <w:style w:type="paragraph" w:styleId="144">
    <w:name w:val="toc 3"/>
    <w:basedOn w:val="1"/>
    <w:next w:val="1"/>
    <w:uiPriority w:val="0"/>
    <w:pPr>
      <w:ind w:left="840" w:leftChars="400"/>
    </w:pPr>
  </w:style>
  <w:style w:type="paragraph" w:styleId="145">
    <w:name w:val="toc 4"/>
    <w:basedOn w:val="1"/>
    <w:next w:val="1"/>
    <w:uiPriority w:val="0"/>
    <w:pPr>
      <w:ind w:left="1260" w:leftChars="600"/>
    </w:pPr>
  </w:style>
  <w:style w:type="paragraph" w:styleId="146">
    <w:name w:val="toc 5"/>
    <w:basedOn w:val="1"/>
    <w:next w:val="1"/>
    <w:uiPriority w:val="0"/>
    <w:pPr>
      <w:ind w:left="1680" w:leftChars="800"/>
    </w:pPr>
  </w:style>
  <w:style w:type="paragraph" w:styleId="147">
    <w:name w:val="toc 6"/>
    <w:basedOn w:val="1"/>
    <w:next w:val="1"/>
    <w:uiPriority w:val="0"/>
    <w:pPr>
      <w:ind w:left="2100" w:leftChars="1000"/>
    </w:pPr>
  </w:style>
  <w:style w:type="paragraph" w:styleId="148">
    <w:name w:val="toc 7"/>
    <w:basedOn w:val="1"/>
    <w:next w:val="1"/>
    <w:uiPriority w:val="0"/>
    <w:pPr>
      <w:ind w:left="2520" w:leftChars="1200"/>
    </w:pPr>
  </w:style>
  <w:style w:type="paragraph" w:styleId="149">
    <w:name w:val="toc 8"/>
    <w:basedOn w:val="1"/>
    <w:next w:val="1"/>
    <w:uiPriority w:val="0"/>
    <w:pPr>
      <w:ind w:left="2940" w:leftChars="1400"/>
    </w:pPr>
  </w:style>
  <w:style w:type="paragraph" w:styleId="150">
    <w:name w:val="toc 9"/>
    <w:basedOn w:val="1"/>
    <w:next w:val="1"/>
    <w:uiPriority w:val="0"/>
    <w:pPr>
      <w:ind w:left="3360" w:leftChars="1600"/>
    </w:pPr>
  </w:style>
  <w:style w:type="table" w:styleId="151">
    <w:name w:val="Light Shading"/>
    <w:basedOn w:val="12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2021-09-06T09:20:00Z</dcterms:created>
  <dc:creator>Liv</dc:creator>
  <cp:lastModifiedBy>Liv</cp:lastModifiedBy>
  <dcterms:modified xsi:type="dcterms:W3CDTF">2021-09-06T09:20:30Z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1033-11.2.0.10265</vt:lpwstr>
  </property>
  <property fmtid="{D5CDD505-2E9C-101B-9397-08002B2CF9AE}" pid="3" name="ICV">
    <vt:lpwstr>6367D9DC8F334832B7A56AFEA946817E</vt:lpwstr>
  </property>
</Properties>
</file>